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7390fc71cc843b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17843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EKONOMSKO-BIROTEHNIČKA ŠKOLA SLAVONSKI BROD</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1.828.336,33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1.976.253,45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1.768.248,10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2.175.976,04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199.722,59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1.703,04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5.867,57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205.590,16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Manjak prihoda poslovanja u visini 199.722,59 je nastao uslije knjiženja 13 plaća u 2025. godini, a radi promjene metodologije knjiženja tj. prikazivanja rashoda i radi promjene načina knjiženja prihoda od EU projekata.</w:t>
      </w:r>
    </w:p>
    <w:p>
      <w:r>
        <w:t xml:space="preserve"> Manjak prihoda od nefinancijske imovine tj. osnovnih sredstava je nastao zbog toga što nismo imali prihoda od prodaje nefinancijske imovine već samo rashode za kupovinu novih osnovnih sredstava. On je znatno viši od istog razdoblja prošle godine zato što je u 2025. god. kupljeno više osnovnih sredstava tj. veće vrijednosti,</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31.12.2025. god. nismo imali dospjelih obveza. Sve naše obveze su podmirene u zakonskom roku tijekom siječnja 2026. god.</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Pomoći temeljem prijenosa EU sredstava se odnose na 2 završena Erasmus+ projekta koji su započeli tijekom 2025. god., a završili u 2026. god.</w:t>
      </w:r>
    </w:p>
    <w:p>
      <w:r>
        <w:t xml:space="preserve">Rashodi se odnose na troškove koji su nastali tijekom 2026. god. za ta 2 završena EU projekta i za 2 nova koja su započeta u 2025. godini.</w:t>
      </w:r>
    </w:p>
    <w:p>
      <w:r>
        <w:t xml:space="preserve">Na kontu 96381 su knjiženi troškovi nastali u 2026. godini za 2 Erasmus+ projekta, a za koje će prihodi biti iskazani u 2026. godini nakon odobrenih završnih izvješća.</w:t>
      </w:r>
    </w:p>
    <w:p>
      <w:r>
        <w:t xml:space="preserve">Na kontu 27521 su knjižene akontacije u visini 80% za 2 Erasmus+ projekta kojai su Ugovoreni tijekom 2025.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1d4cf0407b1485b" /></Relationships>
</file>